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b w:val="1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Dear Commissioners of Jennings County,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 hope this message finds you well.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 As a passionate member of the climbing community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 and advocate for outdoor recreation, I'm writing to address the closure of climbing activities at Muscatatuck Park. I write to you not just on my behalf but on behalf of the entire climbing community.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Understanding the complexities of managing risk and insurance requirements, I nonetheless believe that there are viable paths forward that can allow climbing to be reopened while addressing these concerns. 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Across the United States, numerous jurisdictions have successfully navigated similar challenges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, finding innovative insurance solutions or leveraging statutes like the Indiana State Outdoor Recreation Statute IC 14-22-10-2 to ensure that climbing can continue safely and responsibly.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I urge you to consider exploring supplementary insurance options or other risk management strategies that can satisfy the insurance provider's requirements. 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Both the Access Fund and the Indiana Climbers Coalition have expressed their readiness to assist in this effort, offering their expertise and support to find a solution that works for everyone.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climbing community is more than just a group of individuals seeking adventure;</w:t>
      </w: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 we are a community that values and supports the places we visit.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 Many of us, and our friends and families, miss the climbing day trips to Muscatatuck Park and the surrounding restaurants. Reopening climbing would not only grant us access to a beloved natural resource, but also significantly benefit the local economy of Jennings County through increased visitation and spending. 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rtl w:val="0"/>
        </w:rPr>
        <w:t xml:space="preserve">I am hopeful that, with open dialogue and collaborative problem-solving, our communities can find a way to bring climbing back to Muscatatuck Park.</w:t>
      </w: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 Thank you for your attention to this matter and for considering the perspectives of climbers and outdoor enthusiasts alike.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